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tbl>
      <w:tblPr>
        <w:tblStyle w:val="Table1"/>
        <w:tblW w:w="10880.0" w:type="dxa"/>
        <w:jc w:val="left"/>
        <w:tblInd w:w="0.0" w:type="dxa"/>
        <w:tblLayout w:type="fixed"/>
        <w:tblLook w:val="0000"/>
      </w:tblPr>
      <w:tblGrid>
        <w:gridCol w:w="1840"/>
        <w:gridCol w:w="1480"/>
        <w:gridCol w:w="300"/>
        <w:gridCol w:w="2020"/>
        <w:gridCol w:w="1360"/>
        <w:gridCol w:w="3880"/>
        <w:tblGridChange w:id="0">
          <w:tblGrid>
            <w:gridCol w:w="1840"/>
            <w:gridCol w:w="1480"/>
            <w:gridCol w:w="300"/>
            <w:gridCol w:w="2020"/>
            <w:gridCol w:w="1360"/>
            <w:gridCol w:w="3880"/>
          </w:tblGrid>
        </w:tblGridChange>
      </w:tblGrid>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Grade:  2nd/3rd “Playdough Pinch Pots”</w:t>
            </w:r>
            <w:r w:rsidDel="00000000" w:rsidR="00000000" w:rsidRPr="00000000">
              <w:rPr>
                <w:rtl w:val="0"/>
              </w:rPr>
            </w:r>
          </w:p>
        </w:tc>
      </w:tr>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Day: 1</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spacing w:line="240" w:lineRule="auto"/>
              <w:ind w:right="113"/>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Second Grade, Standard 1. Observe and Learn to Comprehend</w:t>
            </w:r>
            <w:r w:rsidDel="00000000" w:rsidR="00000000" w:rsidRPr="00000000">
              <w:rPr>
                <w:rtl w:val="0"/>
              </w:rPr>
            </w:r>
          </w:p>
          <w:p w:rsidR="00000000" w:rsidDel="00000000" w:rsidP="00000000" w:rsidRDefault="00000000" w:rsidRPr="00000000" w14:paraId="0000000F">
            <w:pPr>
              <w:spacing w:line="240" w:lineRule="auto"/>
              <w:ind w:right="113"/>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40" w:lineRule="auto"/>
              <w:ind w:right="113"/>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Third Grade, Standard 1. Observe and Learn to Comprehend</w:t>
            </w:r>
          </w:p>
          <w:p w:rsidR="00000000" w:rsidDel="00000000" w:rsidP="00000000" w:rsidRDefault="00000000" w:rsidRPr="00000000" w14:paraId="00000011">
            <w:pPr>
              <w:spacing w:line="240" w:lineRule="auto"/>
              <w:ind w:right="113"/>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12">
            <w:pPr>
              <w:spacing w:line="240" w:lineRule="auto"/>
              <w:ind w:right="113"/>
              <w:rPr>
                <w:rFonts w:ascii="Avenir" w:cs="Avenir" w:eastAsia="Avenir" w:hAnsi="Aveni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40" w:lineRule="auto"/>
              <w:ind w:right="113"/>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Colorado Dept. of Ed’s Grade Level Expectation: </w:t>
            </w:r>
          </w:p>
          <w:p w:rsidR="00000000" w:rsidDel="00000000" w:rsidP="00000000" w:rsidRDefault="00000000" w:rsidRPr="00000000" w14:paraId="00000016">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7">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1. Identify how artists make choices using the language of visual art and design to communicate ideas.</w:t>
            </w:r>
          </w:p>
          <w:p w:rsidR="00000000" w:rsidDel="00000000" w:rsidP="00000000" w:rsidRDefault="00000000" w:rsidRPr="00000000" w14:paraId="00000018">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Fonts w:ascii="Avenir" w:cs="Avenir" w:eastAsia="Avenir" w:hAnsi="Avenir"/>
                <w:sz w:val="20"/>
                <w:szCs w:val="20"/>
                <w:rtl w:val="0"/>
              </w:rPr>
              <w:t xml:space="preserve">1. Identify how artists make choices using the language of visual art and design to communicate ideas.</w:t>
            </w:r>
          </w:p>
          <w:p w:rsidR="00000000" w:rsidDel="00000000" w:rsidP="00000000" w:rsidRDefault="00000000" w:rsidRPr="00000000" w14:paraId="00000019">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240" w:lineRule="auto"/>
              <w:rPr>
                <w:rFonts w:ascii="Avenir" w:cs="Avenir" w:eastAsia="Avenir" w:hAnsi="Aveni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D">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Learning Objective</w:t>
            </w:r>
          </w:p>
          <w:p w:rsidR="00000000" w:rsidDel="00000000" w:rsidP="00000000" w:rsidRDefault="00000000" w:rsidRPr="00000000" w14:paraId="0000001E">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1F">
            <w:pPr>
              <w:numPr>
                <w:ilvl w:val="0"/>
                <w:numId w:val="1"/>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Describe how artists choose materials to communicate ideas.</w:t>
            </w:r>
          </w:p>
          <w:p w:rsidR="00000000" w:rsidDel="00000000" w:rsidP="00000000" w:rsidRDefault="00000000" w:rsidRPr="00000000" w14:paraId="00000020">
            <w:pPr>
              <w:spacing w:line="240" w:lineRule="auto"/>
              <w:ind w:left="72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2">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240" w:lineRule="auto"/>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Discover how similar ideas can be expressed in multiple ways.</w:t>
            </w:r>
          </w:p>
          <w:p w:rsidR="00000000" w:rsidDel="00000000" w:rsidP="00000000" w:rsidRDefault="00000000" w:rsidRPr="00000000" w14:paraId="00000025">
            <w:pPr>
              <w:spacing w:line="240" w:lineRule="auto"/>
              <w:rPr>
                <w:rFonts w:ascii="Avenir" w:cs="Avenir" w:eastAsia="Avenir" w:hAnsi="Aveni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40" w:lineRule="auto"/>
              <w:rPr>
                <w:rFonts w:ascii="Avenir" w:cs="Avenir" w:eastAsia="Avenir" w:hAnsi="Avenir"/>
                <w:b w:val="1"/>
                <w:sz w:val="20"/>
                <w:szCs w:val="20"/>
              </w:rPr>
            </w:pPr>
            <w:r w:rsidDel="00000000" w:rsidR="00000000" w:rsidRPr="00000000">
              <w:rPr>
                <w:rtl w:val="0"/>
              </w:rPr>
            </w:r>
          </w:p>
        </w:tc>
      </w:tr>
      <w:tr>
        <w:trPr>
          <w:trHeight w:val="71" w:hRule="atLeast"/>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tc>
      </w:tr>
      <w:tr>
        <w:trPr>
          <w:trHeight w:val="2933"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Instruction</w:t>
            </w:r>
            <w:r w:rsidDel="00000000" w:rsidR="00000000" w:rsidRPr="00000000">
              <w:rPr>
                <w:rtl w:val="0"/>
              </w:rPr>
            </w:r>
          </w:p>
          <w:p w:rsidR="00000000" w:rsidDel="00000000" w:rsidP="00000000" w:rsidRDefault="00000000" w:rsidRPr="00000000" w14:paraId="0000002F">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are your students specifically going to do? How are they doing it? List this as bullets.</w:t>
            </w:r>
          </w:p>
          <w:p w:rsidR="00000000" w:rsidDel="00000000" w:rsidP="00000000" w:rsidRDefault="00000000" w:rsidRPr="00000000" w14:paraId="0000003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2">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Lets learn a skill!</w:t>
            </w:r>
          </w:p>
          <w:p w:rsidR="00000000" w:rsidDel="00000000" w:rsidP="00000000" w:rsidRDefault="00000000" w:rsidRPr="00000000" w14:paraId="0000003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4">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Making play dough - Because we cant leave our house very much, we should try to make art supplies with what we can find in our house. This Simple recipe will allow you to make your OWN play dough. and with this, we wll learn how people in ancient history learned to to turn clay into a bowl they can use everyday:</w:t>
            </w:r>
          </w:p>
          <w:p w:rsidR="00000000" w:rsidDel="00000000" w:rsidP="00000000" w:rsidRDefault="00000000" w:rsidRPr="00000000" w14:paraId="0000003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6">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We wll need ¾ Cup water</w:t>
            </w:r>
          </w:p>
          <w:p w:rsidR="00000000" w:rsidDel="00000000" w:rsidP="00000000" w:rsidRDefault="00000000" w:rsidRPr="00000000" w14:paraId="00000037">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3 tbsp Lemon Juice</w:t>
            </w:r>
          </w:p>
          <w:p w:rsidR="00000000" w:rsidDel="00000000" w:rsidP="00000000" w:rsidRDefault="00000000" w:rsidRPr="00000000" w14:paraId="00000038">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1 tbsp vegetable oil</w:t>
            </w:r>
          </w:p>
          <w:p w:rsidR="00000000" w:rsidDel="00000000" w:rsidP="00000000" w:rsidRDefault="00000000" w:rsidRPr="00000000" w14:paraId="00000039">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1-2 Koolaid packets or Food coloring for color ( You can leave it uncolored, just don’t add this)</w:t>
            </w:r>
          </w:p>
          <w:p w:rsidR="00000000" w:rsidDel="00000000" w:rsidP="00000000" w:rsidRDefault="00000000" w:rsidRPr="00000000" w14:paraId="0000003A">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1 Cup Flour</w:t>
            </w:r>
          </w:p>
          <w:p w:rsidR="00000000" w:rsidDel="00000000" w:rsidP="00000000" w:rsidRDefault="00000000" w:rsidRPr="00000000" w14:paraId="0000003B">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¼ Cup Salt</w:t>
            </w:r>
          </w:p>
          <w:p w:rsidR="00000000" w:rsidDel="00000000" w:rsidP="00000000" w:rsidRDefault="00000000" w:rsidRPr="00000000" w14:paraId="0000003C">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Sealable container</w:t>
            </w:r>
          </w:p>
          <w:p w:rsidR="00000000" w:rsidDel="00000000" w:rsidP="00000000" w:rsidRDefault="00000000" w:rsidRPr="00000000" w14:paraId="0000003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E">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https://www.wikihow.com/Make-Play-Dough-without-Cream-of-Tartar#Using-Flour.2C-Salt.2C-and-Oil_2</w:t>
            </w:r>
          </w:p>
          <w:p w:rsidR="00000000" w:rsidDel="00000000" w:rsidP="00000000" w:rsidRDefault="00000000" w:rsidRPr="00000000" w14:paraId="0000003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0">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We wll be learnng how to make Pinch pots. Pinch pots are ,.one of the most ancient methods of creating pottery, mostly because they don’t require a pottery wheel, which many people didn’t have access to back then. a pinch Pot allows you to create a basic form with Just your hand.</w:t>
            </w:r>
          </w:p>
          <w:p w:rsidR="00000000" w:rsidDel="00000000" w:rsidP="00000000" w:rsidRDefault="00000000" w:rsidRPr="00000000" w14:paraId="0000004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3">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We will talk about some traditional pinch pots,</w:t>
            </w:r>
          </w:p>
          <w:p w:rsidR="00000000" w:rsidDel="00000000" w:rsidP="00000000" w:rsidRDefault="00000000" w:rsidRPr="00000000" w14:paraId="00000044">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Native American Pinch Pottery by showing some examples and talking about WHY people may have needed these pieces</w:t>
            </w:r>
          </w:p>
          <w:p w:rsidR="00000000" w:rsidDel="00000000" w:rsidP="00000000" w:rsidRDefault="00000000" w:rsidRPr="00000000" w14:paraId="00000045">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https://www.missiondelrey.com/native-american-pueblo-pottery/</w:t>
            </w:r>
          </w:p>
          <w:p w:rsidR="00000000" w:rsidDel="00000000" w:rsidP="00000000" w:rsidRDefault="00000000" w:rsidRPr="00000000" w14:paraId="00000046">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Japanese: http://clayshares.blogspot.com/p/japanese-tea-bowls-art-of-pinch-pot.html</w:t>
            </w:r>
          </w:p>
          <w:p w:rsidR="00000000" w:rsidDel="00000000" w:rsidP="00000000" w:rsidRDefault="00000000" w:rsidRPr="00000000" w14:paraId="0000004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8">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Our Goal: Make a Pinch pot for a specific purpose. </w:t>
            </w:r>
          </w:p>
          <w:p w:rsidR="00000000" w:rsidDel="00000000" w:rsidP="00000000" w:rsidRDefault="00000000" w:rsidRPr="00000000" w14:paraId="00000049">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is your vessel’s Purpose? is it to hold a small tea, a single flower? let your imagination run free, but try to adjust what you are makng to fit the needs of your pinch pot. So, if it is supposed to be a vase, you will need to bring the walls up higher by pinching</w:t>
            </w:r>
          </w:p>
          <w:p w:rsidR="00000000" w:rsidDel="00000000" w:rsidP="00000000" w:rsidRDefault="00000000" w:rsidRPr="00000000" w14:paraId="0000004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F">
            <w:pPr>
              <w:keepNext w:val="1"/>
              <w:spacing w:line="276"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Intention</w:t>
            </w:r>
            <w:r w:rsidDel="00000000" w:rsidR="00000000" w:rsidRPr="00000000">
              <w:rPr>
                <w:rtl w:val="0"/>
              </w:rPr>
            </w:r>
          </w:p>
          <w:p w:rsidR="00000000" w:rsidDel="00000000" w:rsidP="00000000" w:rsidRDefault="00000000" w:rsidRPr="00000000" w14:paraId="00000062">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Why are you having them do it?</w:t>
            </w:r>
          </w:p>
          <w:p w:rsidR="00000000" w:rsidDel="00000000" w:rsidP="00000000" w:rsidRDefault="00000000" w:rsidRPr="00000000" w14:paraId="0000006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4">
            <w:pPr>
              <w:spacing w:line="240" w:lineRule="auto"/>
              <w:rPr>
                <w:rFonts w:ascii="Avenir" w:cs="Avenir" w:eastAsia="Avenir" w:hAnsi="Avenir"/>
                <w:sz w:val="24"/>
                <w:szCs w:val="24"/>
              </w:rPr>
            </w:pPr>
            <w:r w:rsidDel="00000000" w:rsidR="00000000" w:rsidRPr="00000000">
              <w:rPr>
                <w:rFonts w:ascii="Avenir" w:cs="Avenir" w:eastAsia="Avenir" w:hAnsi="Avenir"/>
                <w:sz w:val="20"/>
                <w:szCs w:val="20"/>
                <w:rtl w:val="0"/>
              </w:rPr>
              <w:t xml:space="preserve">Students will be measuring (cooking) and learning a new skill as well as learning some historical contexts about clay. This ideally would be a clay lesson, but I think the opportunity for the students to practice MAKING art supplies in the abscence of some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7">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Evidence</w:t>
            </w:r>
            <w:r w:rsidDel="00000000" w:rsidR="00000000" w:rsidRPr="00000000">
              <w:rPr>
                <w:rtl w:val="0"/>
              </w:rPr>
            </w:r>
          </w:p>
          <w:p w:rsidR="00000000" w:rsidDel="00000000" w:rsidP="00000000" w:rsidRDefault="00000000" w:rsidRPr="00000000" w14:paraId="00000068">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artifacts will tell you whether or not your students have met the GLE and learning objective? </w:t>
            </w:r>
          </w:p>
          <w:p w:rsidR="00000000" w:rsidDel="00000000" w:rsidP="00000000" w:rsidRDefault="00000000" w:rsidRPr="00000000" w14:paraId="0000006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A">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can email a photograph or video with their piece and an explanation of what the piece’s imagined function is. This will be proof that there was intention behind the making of the work</w:t>
            </w:r>
          </w:p>
          <w:p w:rsidR="00000000" w:rsidDel="00000000" w:rsidP="00000000" w:rsidRDefault="00000000" w:rsidRPr="00000000" w14:paraId="0000006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7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8">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9">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A">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B">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C">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D">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E">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8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8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82">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83">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84">
            <w:pPr>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SUPPLIES AND RESOURCES NEEDED FOR THIS ONE DAY:  Glitter, Flour, Salt, Water, Food Coloring, Essential Oil, Oil</w:t>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